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25853"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5AF33D1F" w14:textId="77777777" w:rsidR="0012073C" w:rsidRDefault="0012073C">
      <w:pPr>
        <w:spacing w:line="540" w:lineRule="exact"/>
        <w:jc w:val="center"/>
        <w:rPr>
          <w:rFonts w:ascii="华文中宋" w:eastAsia="华文中宋" w:hAnsi="华文中宋" w:cs="宋体"/>
          <w:b/>
          <w:kern w:val="0"/>
          <w:sz w:val="52"/>
          <w:szCs w:val="52"/>
        </w:rPr>
      </w:pPr>
    </w:p>
    <w:p w14:paraId="407CA75A" w14:textId="77777777" w:rsidR="0012073C" w:rsidRDefault="0012073C">
      <w:pPr>
        <w:spacing w:line="540" w:lineRule="exact"/>
        <w:jc w:val="center"/>
        <w:rPr>
          <w:rFonts w:ascii="华文中宋" w:eastAsia="华文中宋" w:hAnsi="华文中宋" w:cs="宋体"/>
          <w:b/>
          <w:kern w:val="0"/>
          <w:sz w:val="52"/>
          <w:szCs w:val="52"/>
        </w:rPr>
      </w:pPr>
    </w:p>
    <w:p w14:paraId="092D006A" w14:textId="77777777" w:rsidR="0012073C" w:rsidRDefault="0012073C">
      <w:pPr>
        <w:spacing w:line="540" w:lineRule="exact"/>
        <w:jc w:val="center"/>
        <w:rPr>
          <w:rFonts w:ascii="华文中宋" w:eastAsia="华文中宋" w:hAnsi="华文中宋" w:cs="宋体"/>
          <w:b/>
          <w:kern w:val="0"/>
          <w:sz w:val="52"/>
          <w:szCs w:val="52"/>
        </w:rPr>
      </w:pPr>
    </w:p>
    <w:p w14:paraId="1E759862" w14:textId="77777777" w:rsidR="0012073C" w:rsidRDefault="0012073C">
      <w:pPr>
        <w:spacing w:line="540" w:lineRule="exact"/>
        <w:jc w:val="center"/>
        <w:rPr>
          <w:rFonts w:ascii="华文中宋" w:eastAsia="华文中宋" w:hAnsi="华文中宋" w:cs="宋体"/>
          <w:b/>
          <w:kern w:val="0"/>
          <w:sz w:val="52"/>
          <w:szCs w:val="52"/>
        </w:rPr>
      </w:pPr>
    </w:p>
    <w:p w14:paraId="2063B215" w14:textId="77777777" w:rsidR="0012073C" w:rsidRDefault="0012073C">
      <w:pPr>
        <w:spacing w:line="540" w:lineRule="exact"/>
        <w:jc w:val="center"/>
        <w:rPr>
          <w:rFonts w:ascii="华文中宋" w:eastAsia="华文中宋" w:hAnsi="华文中宋" w:cs="宋体"/>
          <w:b/>
          <w:kern w:val="0"/>
          <w:sz w:val="52"/>
          <w:szCs w:val="52"/>
        </w:rPr>
      </w:pPr>
    </w:p>
    <w:p w14:paraId="2BB3983C" w14:textId="77777777" w:rsidR="0012073C" w:rsidRDefault="0012073C">
      <w:pPr>
        <w:spacing w:line="540" w:lineRule="exact"/>
        <w:jc w:val="center"/>
        <w:rPr>
          <w:rFonts w:ascii="华文中宋" w:eastAsia="华文中宋" w:hAnsi="华文中宋" w:cs="宋体"/>
          <w:b/>
          <w:kern w:val="0"/>
          <w:sz w:val="52"/>
          <w:szCs w:val="52"/>
        </w:rPr>
      </w:pPr>
    </w:p>
    <w:p w14:paraId="23E41003"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7F47113D" w14:textId="77777777" w:rsidR="0012073C" w:rsidRDefault="0012073C">
      <w:pPr>
        <w:spacing w:line="540" w:lineRule="exact"/>
        <w:jc w:val="center"/>
        <w:rPr>
          <w:rFonts w:ascii="华文中宋" w:eastAsia="华文中宋" w:hAnsi="华文中宋" w:cs="宋体"/>
          <w:b/>
          <w:kern w:val="0"/>
          <w:sz w:val="52"/>
          <w:szCs w:val="52"/>
        </w:rPr>
      </w:pPr>
    </w:p>
    <w:p w14:paraId="646D3C4E"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AF72F2" w14:textId="77777777" w:rsidR="0012073C" w:rsidRDefault="0012073C">
      <w:pPr>
        <w:spacing w:line="540" w:lineRule="exact"/>
        <w:jc w:val="center"/>
        <w:rPr>
          <w:rFonts w:eastAsia="仿宋_GB2312" w:hAnsi="宋体" w:cs="宋体"/>
          <w:kern w:val="0"/>
          <w:sz w:val="30"/>
          <w:szCs w:val="30"/>
        </w:rPr>
      </w:pPr>
    </w:p>
    <w:p w14:paraId="5ED99C5B" w14:textId="77777777" w:rsidR="0012073C" w:rsidRDefault="0012073C">
      <w:pPr>
        <w:spacing w:line="540" w:lineRule="exact"/>
        <w:jc w:val="center"/>
        <w:rPr>
          <w:rFonts w:eastAsia="仿宋_GB2312" w:hAnsi="宋体" w:cs="宋体"/>
          <w:kern w:val="0"/>
          <w:sz w:val="30"/>
          <w:szCs w:val="30"/>
        </w:rPr>
      </w:pPr>
    </w:p>
    <w:p w14:paraId="5D504538" w14:textId="77777777" w:rsidR="0012073C" w:rsidRDefault="0012073C">
      <w:pPr>
        <w:spacing w:line="540" w:lineRule="exact"/>
        <w:jc w:val="center"/>
        <w:rPr>
          <w:rFonts w:eastAsia="仿宋_GB2312" w:hAnsi="宋体" w:cs="宋体"/>
          <w:kern w:val="0"/>
          <w:sz w:val="30"/>
          <w:szCs w:val="30"/>
        </w:rPr>
      </w:pPr>
    </w:p>
    <w:p w14:paraId="6B7C6057" w14:textId="77777777" w:rsidR="0012073C" w:rsidRDefault="0012073C">
      <w:pPr>
        <w:spacing w:line="540" w:lineRule="exact"/>
        <w:jc w:val="center"/>
        <w:rPr>
          <w:rFonts w:eastAsia="仿宋_GB2312" w:hAnsi="宋体" w:cs="宋体"/>
          <w:kern w:val="0"/>
          <w:sz w:val="30"/>
          <w:szCs w:val="30"/>
        </w:rPr>
      </w:pPr>
    </w:p>
    <w:p w14:paraId="1D88D222" w14:textId="77777777" w:rsidR="0012073C" w:rsidRDefault="0012073C">
      <w:pPr>
        <w:spacing w:line="540" w:lineRule="exact"/>
        <w:jc w:val="center"/>
        <w:rPr>
          <w:rFonts w:eastAsia="仿宋_GB2312" w:hAnsi="宋体" w:cs="宋体"/>
          <w:kern w:val="0"/>
          <w:sz w:val="30"/>
          <w:szCs w:val="30"/>
        </w:rPr>
      </w:pPr>
    </w:p>
    <w:p w14:paraId="24F224D1" w14:textId="77777777" w:rsidR="0012073C" w:rsidRDefault="0012073C">
      <w:pPr>
        <w:spacing w:line="540" w:lineRule="exact"/>
        <w:jc w:val="center"/>
        <w:rPr>
          <w:rFonts w:eastAsia="仿宋_GB2312" w:hAnsi="宋体" w:cs="宋体"/>
          <w:kern w:val="0"/>
          <w:sz w:val="30"/>
          <w:szCs w:val="30"/>
        </w:rPr>
      </w:pPr>
    </w:p>
    <w:p w14:paraId="787B1DD2" w14:textId="77777777" w:rsidR="0012073C" w:rsidRDefault="0012073C">
      <w:pPr>
        <w:spacing w:line="540" w:lineRule="exact"/>
        <w:rPr>
          <w:rFonts w:eastAsia="仿宋_GB2312" w:hAnsi="宋体" w:cs="宋体"/>
          <w:kern w:val="0"/>
          <w:sz w:val="30"/>
          <w:szCs w:val="30"/>
        </w:rPr>
      </w:pPr>
    </w:p>
    <w:p w14:paraId="2633EE76"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14FF15F"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2022年自治区财政城乡居民基本养老保险补助资金</w:t>
      </w:r>
    </w:p>
    <w:p w14:paraId="62EB8E72"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呼图壁县社会保险管理局</w:t>
      </w:r>
    </w:p>
    <w:p w14:paraId="01C48974"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呼图壁县社会保险管理局</w:t>
      </w:r>
    </w:p>
    <w:p w14:paraId="6BD9D90A"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李晓娟</w:t>
      </w:r>
    </w:p>
    <w:p w14:paraId="1F6853CA"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2023年04月17日</w:t>
      </w:r>
    </w:p>
    <w:p w14:paraId="0063403B" w14:textId="77777777" w:rsidR="0012073C" w:rsidRDefault="0012073C">
      <w:pPr>
        <w:spacing w:line="700" w:lineRule="exact"/>
        <w:ind w:firstLineChars="236" w:firstLine="708"/>
        <w:jc w:val="left"/>
        <w:rPr>
          <w:rFonts w:eastAsia="仿宋_GB2312" w:hAnsi="宋体" w:cs="宋体"/>
          <w:kern w:val="0"/>
          <w:sz w:val="30"/>
          <w:szCs w:val="30"/>
        </w:rPr>
      </w:pPr>
    </w:p>
    <w:p w14:paraId="7AA3D4B9" w14:textId="77777777" w:rsidR="0012073C" w:rsidRDefault="0012073C">
      <w:pPr>
        <w:spacing w:line="540" w:lineRule="exact"/>
        <w:rPr>
          <w:rStyle w:val="ad"/>
          <w:rFonts w:ascii="黑体" w:eastAsia="黑体" w:hAnsi="黑体"/>
          <w:b w:val="0"/>
          <w:spacing w:val="-4"/>
          <w:sz w:val="32"/>
          <w:szCs w:val="32"/>
        </w:rPr>
      </w:pPr>
    </w:p>
    <w:p w14:paraId="7A24AD5F"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C1C20F3"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0E290BD5"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按照加快建立覆盖城乡居民的社会保障体系要求，要逐步解决农村居民和城镇无养老保障居民老有所养的问题。我县于2014年6月1日起，按照《国务院关于建立统一的城乡居民基本养老保险制度的意见》（国发〔2014〕8号）文件的要求，我县将新型农村养老保险和城镇居民社会养老保险两项制度合并实施，建立起全县统一的城乡居民基本养老保险制度。城乡居民基本养老保险按照“保基本、广覆盖、有弹性、可持续”的方针，全面推进和不断完善覆盖全体城乡居民的基本养老保险制度，坚持和完善社会统筹和个人账户相结合的制度模式，巩固和拓宽个人缴费、集体缴费、政府补贴相结合的资金筹集渠道。我县城乡居民养老保险基金属于县级统筹资金。</w:t>
      </w:r>
      <w:r>
        <w:rPr>
          <w:rStyle w:val="ad"/>
          <w:rFonts w:ascii="楷体" w:eastAsia="楷体" w:hAnsi="楷体" w:hint="eastAsia"/>
          <w:b w:val="0"/>
          <w:bCs w:val="0"/>
          <w:spacing w:val="-4"/>
          <w:sz w:val="32"/>
          <w:szCs w:val="32"/>
        </w:rPr>
        <w:br/>
        <w:t>2、项目主要内容及实施情况</w:t>
      </w:r>
      <w:r>
        <w:rPr>
          <w:rStyle w:val="ad"/>
          <w:rFonts w:ascii="楷体" w:eastAsia="楷体" w:hAnsi="楷体" w:hint="eastAsia"/>
          <w:b w:val="0"/>
          <w:bCs w:val="0"/>
          <w:spacing w:val="-4"/>
          <w:sz w:val="32"/>
          <w:szCs w:val="32"/>
        </w:rPr>
        <w:br/>
        <w:t>本项目主要内容为：根据昌州财社〔2021〕56及昌州财社〔2022〕69号文件精神要求，呼图壁县社会保险管理局领导高度重视，安排专人负责落实，由城乡居民养老科室工作人员负责通过社保三版系统将待遇补助金补助资金核定到享受待遇人员个人工资构成中，由基金财务管理科工作人员负责通过全程电子化系统按月发放到人。</w:t>
      </w:r>
      <w:r>
        <w:rPr>
          <w:rStyle w:val="ad"/>
          <w:rFonts w:ascii="楷体" w:eastAsia="楷体" w:hAnsi="楷体" w:hint="eastAsia"/>
          <w:b w:val="0"/>
          <w:bCs w:val="0"/>
          <w:spacing w:val="-4"/>
          <w:sz w:val="32"/>
          <w:szCs w:val="32"/>
        </w:rPr>
        <w:br/>
        <w:t>项目的实施提高了社会稳定水平，服务群众，为解决参加城乡居民养老保险人员，在达到法定退休年龄参保人员享受待遇，完善</w:t>
      </w:r>
      <w:r>
        <w:rPr>
          <w:rStyle w:val="ad"/>
          <w:rFonts w:ascii="楷体" w:eastAsia="楷体" w:hAnsi="楷体" w:hint="eastAsia"/>
          <w:b w:val="0"/>
          <w:bCs w:val="0"/>
          <w:spacing w:val="-4"/>
          <w:sz w:val="32"/>
          <w:szCs w:val="32"/>
        </w:rPr>
        <w:lastRenderedPageBreak/>
        <w:t>社会保险体系。</w:t>
      </w:r>
      <w:r>
        <w:rPr>
          <w:rStyle w:val="ad"/>
          <w:rFonts w:ascii="楷体" w:eastAsia="楷体" w:hAnsi="楷体" w:hint="eastAsia"/>
          <w:b w:val="0"/>
          <w:bCs w:val="0"/>
          <w:spacing w:val="-4"/>
          <w:sz w:val="32"/>
          <w:szCs w:val="32"/>
        </w:rPr>
        <w:br/>
        <w:t>本项目于2022年1月开始实施，截止2022年12月已全部完成，通过本项目的实施，提高城乡居民的生活水平，实现呼图壁县社会稳定和长治久安。</w:t>
      </w:r>
      <w:r>
        <w:rPr>
          <w:rStyle w:val="ad"/>
          <w:rFonts w:ascii="楷体" w:eastAsia="楷体" w:hAnsi="楷体" w:hint="eastAsia"/>
          <w:b w:val="0"/>
          <w:bCs w:val="0"/>
          <w:spacing w:val="-4"/>
          <w:sz w:val="32"/>
          <w:szCs w:val="32"/>
        </w:rPr>
        <w:br/>
        <w:t>3.项目实施主体</w:t>
      </w:r>
      <w:r>
        <w:rPr>
          <w:rStyle w:val="ad"/>
          <w:rFonts w:ascii="楷体" w:eastAsia="楷体" w:hAnsi="楷体" w:hint="eastAsia"/>
          <w:b w:val="0"/>
          <w:bCs w:val="0"/>
          <w:spacing w:val="-4"/>
          <w:sz w:val="32"/>
          <w:szCs w:val="32"/>
        </w:rPr>
        <w:br/>
        <w:t>2022年中央财政城乡居民基本养老保险补助资金项目的实施主体为呼图壁县社会保险管理局，该单位纳入2022年部门决算编制范围的有6个科室，分别是：党政办，基金财务科，待遇支付科、征缴科、稽核科、综合业务科。</w:t>
      </w:r>
      <w:r>
        <w:rPr>
          <w:rStyle w:val="ad"/>
          <w:rFonts w:ascii="楷体" w:eastAsia="楷体" w:hAnsi="楷体" w:hint="eastAsia"/>
          <w:b w:val="0"/>
          <w:bCs w:val="0"/>
          <w:spacing w:val="-4"/>
          <w:sz w:val="32"/>
          <w:szCs w:val="32"/>
        </w:rPr>
        <w:br/>
        <w:t>编制人数为22人，其中：参公13人、工勤4人、事业编制5人。实有在职人数21人，其中：参公12人、工勤4人、事业在职5人。离退休人员12人，其中：行政退休人员6人、事业退休2人、工勤退休4人。</w:t>
      </w:r>
      <w:r>
        <w:rPr>
          <w:rStyle w:val="ad"/>
          <w:rFonts w:ascii="楷体" w:eastAsia="楷体" w:hAnsi="楷体" w:hint="eastAsia"/>
          <w:b w:val="0"/>
          <w:bCs w:val="0"/>
          <w:spacing w:val="-4"/>
          <w:sz w:val="32"/>
          <w:szCs w:val="32"/>
        </w:rPr>
        <w:br/>
        <w:t>4. 资金投入和使用情况</w:t>
      </w:r>
      <w:r>
        <w:rPr>
          <w:rStyle w:val="ad"/>
          <w:rFonts w:ascii="楷体" w:eastAsia="楷体" w:hAnsi="楷体" w:hint="eastAsia"/>
          <w:b w:val="0"/>
          <w:bCs w:val="0"/>
          <w:spacing w:val="-4"/>
          <w:sz w:val="32"/>
          <w:szCs w:val="32"/>
        </w:rPr>
        <w:br/>
        <w:t>（1）项目资金安排落实、总投入情况</w:t>
      </w:r>
      <w:r>
        <w:rPr>
          <w:rStyle w:val="ad"/>
          <w:rFonts w:ascii="楷体" w:eastAsia="楷体" w:hAnsi="楷体" w:hint="eastAsia"/>
          <w:b w:val="0"/>
          <w:bCs w:val="0"/>
          <w:spacing w:val="-4"/>
          <w:sz w:val="32"/>
          <w:szCs w:val="32"/>
        </w:rPr>
        <w:br/>
        <w:t>根据昌州财社〔2021〕56及昌州财社〔2022〕28号文件，下达2022年中央、自治区财政城乡居民基本养老保险补助资金，预算安排资金总额1206万元，其中财政资金1587万元（其中中央财政1206万元，自治区财政381万元）、其他资金0万元，2022年实际收到预算资金1587万元，预算资金到位率为100%。</w:t>
      </w:r>
      <w:r>
        <w:rPr>
          <w:rStyle w:val="ad"/>
          <w:rFonts w:ascii="楷体" w:eastAsia="楷体" w:hAnsi="楷体" w:hint="eastAsia"/>
          <w:b w:val="0"/>
          <w:bCs w:val="0"/>
          <w:spacing w:val="-4"/>
          <w:sz w:val="32"/>
          <w:szCs w:val="32"/>
        </w:rPr>
        <w:br/>
        <w:t>（2）项目资金实际使用情况</w:t>
      </w:r>
      <w:r>
        <w:rPr>
          <w:rStyle w:val="ad"/>
          <w:rFonts w:ascii="楷体" w:eastAsia="楷体" w:hAnsi="楷体" w:hint="eastAsia"/>
          <w:b w:val="0"/>
          <w:bCs w:val="0"/>
          <w:spacing w:val="-4"/>
          <w:sz w:val="32"/>
          <w:szCs w:val="32"/>
        </w:rPr>
        <w:br/>
        <w:t>截至2022年12月31日，本项目实际支付资金1587万元，预算执行率100.0%。项目资金主要用于支付2022年中央财政城乡居民基本养老保险补助项目费用1587万元。</w:t>
      </w:r>
    </w:p>
    <w:p w14:paraId="57B7A01A"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3A85E85A"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lastRenderedPageBreak/>
        <w:t>1、总体目标</w:t>
      </w:r>
      <w:r>
        <w:rPr>
          <w:rStyle w:val="ad"/>
          <w:rFonts w:ascii="楷体" w:eastAsia="楷体" w:hAnsi="楷体" w:hint="eastAsia"/>
          <w:b w:val="0"/>
          <w:bCs w:val="0"/>
          <w:spacing w:val="-4"/>
          <w:sz w:val="32"/>
          <w:szCs w:val="32"/>
        </w:rPr>
        <w:br/>
        <w:t>2022年中央、自治区财政城乡居民基本养老保险补助资金绩效总体目标为：财政对城乡居民养老保险领取待遇人员的基本养老金给予一定的补助1-6月175元/人/月，7-12月180元/人/月，其中中央补贴1-6月93元/人/月，7-12月98元/人/月，自治区补贴22.32元/人/月，县级59.68元/人/月。按照国家规定调整城乡居民养老保险基础养老金最低标准5元/人/月。自治区对缴费补贴30元/人/年。使城乡居民养老缴费人员和领取待遇人员感受到党的温暖，提升生活的幸福感和获得感。促进我县社会和谐稳定和长治久安。</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ad"/>
          <w:rFonts w:ascii="楷体" w:eastAsia="楷体" w:hAnsi="楷体" w:hint="eastAsia"/>
          <w:b w:val="0"/>
          <w:bCs w:val="0"/>
          <w:spacing w:val="-4"/>
          <w:sz w:val="32"/>
          <w:szCs w:val="32"/>
        </w:rPr>
        <w:br/>
        <w:t>（1）项目产出目标</w:t>
      </w:r>
      <w:r>
        <w:rPr>
          <w:rStyle w:val="ad"/>
          <w:rFonts w:ascii="楷体" w:eastAsia="楷体" w:hAnsi="楷体" w:hint="eastAsia"/>
          <w:b w:val="0"/>
          <w:bCs w:val="0"/>
          <w:spacing w:val="-4"/>
          <w:sz w:val="32"/>
          <w:szCs w:val="32"/>
        </w:rPr>
        <w:br/>
        <w:t>①数量指标</w:t>
      </w:r>
      <w:r>
        <w:rPr>
          <w:rStyle w:val="ad"/>
          <w:rFonts w:ascii="楷体" w:eastAsia="楷体" w:hAnsi="楷体" w:hint="eastAsia"/>
          <w:b w:val="0"/>
          <w:bCs w:val="0"/>
          <w:spacing w:val="-4"/>
          <w:sz w:val="32"/>
          <w:szCs w:val="32"/>
        </w:rPr>
        <w:br/>
        <w:t>“符合条件的城乡老年居民按时发放率”指标，预期指标值为100%；“符合条件的城乡老年居民足额发放率”预期指标值为100%。</w:t>
      </w:r>
      <w:r>
        <w:rPr>
          <w:rStyle w:val="ad"/>
          <w:rFonts w:ascii="楷体" w:eastAsia="楷体" w:hAnsi="楷体" w:hint="eastAsia"/>
          <w:b w:val="0"/>
          <w:bCs w:val="0"/>
          <w:spacing w:val="-4"/>
          <w:sz w:val="32"/>
          <w:szCs w:val="32"/>
        </w:rPr>
        <w:br/>
        <w:t>②质量指标</w:t>
      </w:r>
      <w:r>
        <w:rPr>
          <w:rStyle w:val="ad"/>
          <w:rFonts w:ascii="楷体" w:eastAsia="楷体" w:hAnsi="楷体" w:hint="eastAsia"/>
          <w:b w:val="0"/>
          <w:bCs w:val="0"/>
          <w:spacing w:val="-4"/>
          <w:sz w:val="32"/>
          <w:szCs w:val="32"/>
        </w:rPr>
        <w:br/>
        <w:t>“基础养老金标准执行”指标，预期指标值为100%；“基础养老金发放准确率”指标，预期指标值为100%；</w:t>
      </w:r>
      <w:r>
        <w:rPr>
          <w:rStyle w:val="ad"/>
          <w:rFonts w:ascii="楷体" w:eastAsia="楷体" w:hAnsi="楷体" w:hint="eastAsia"/>
          <w:b w:val="0"/>
          <w:bCs w:val="0"/>
          <w:spacing w:val="-4"/>
          <w:sz w:val="32"/>
          <w:szCs w:val="32"/>
        </w:rPr>
        <w:br/>
        <w:t>③时效指标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“在规定时限内拨付补助资金的地区比例”指标，预期指标值为100%；</w:t>
      </w:r>
      <w:r>
        <w:rPr>
          <w:rStyle w:val="ad"/>
          <w:rFonts w:ascii="楷体" w:eastAsia="楷体" w:hAnsi="楷体" w:hint="eastAsia"/>
          <w:b w:val="0"/>
          <w:bCs w:val="0"/>
          <w:spacing w:val="-4"/>
          <w:sz w:val="32"/>
          <w:szCs w:val="32"/>
        </w:rPr>
        <w:br/>
        <w:t>④成本指标</w:t>
      </w:r>
      <w:r>
        <w:rPr>
          <w:rStyle w:val="ad"/>
          <w:rFonts w:ascii="楷体" w:eastAsia="楷体" w:hAnsi="楷体" w:hint="eastAsia"/>
          <w:b w:val="0"/>
          <w:bCs w:val="0"/>
          <w:spacing w:val="-4"/>
          <w:sz w:val="32"/>
          <w:szCs w:val="32"/>
        </w:rPr>
        <w:br/>
        <w:t>“人均月基础养老金标准（中央）”指标，预期指标值为93元/人/月；“人均月基础养老金标准（州级）”指标，预期指标值为150元/人/月。</w:t>
      </w:r>
      <w:r>
        <w:rPr>
          <w:rStyle w:val="ad"/>
          <w:rFonts w:ascii="楷体" w:eastAsia="楷体" w:hAnsi="楷体" w:hint="eastAsia"/>
          <w:b w:val="0"/>
          <w:bCs w:val="0"/>
          <w:spacing w:val="-4"/>
          <w:sz w:val="32"/>
          <w:szCs w:val="32"/>
        </w:rPr>
        <w:br/>
        <w:t>（2）项目效益目标</w:t>
      </w:r>
      <w:r>
        <w:rPr>
          <w:rStyle w:val="ad"/>
          <w:rFonts w:ascii="楷体" w:eastAsia="楷体" w:hAnsi="楷体" w:hint="eastAsia"/>
          <w:b w:val="0"/>
          <w:bCs w:val="0"/>
          <w:spacing w:val="-4"/>
          <w:sz w:val="32"/>
          <w:szCs w:val="32"/>
        </w:rPr>
        <w:br/>
        <w:t>①经济效益指标</w:t>
      </w:r>
      <w:r>
        <w:rPr>
          <w:rStyle w:val="ad"/>
          <w:rFonts w:ascii="楷体" w:eastAsia="楷体" w:hAnsi="楷体" w:hint="eastAsia"/>
          <w:b w:val="0"/>
          <w:bCs w:val="0"/>
          <w:spacing w:val="-4"/>
          <w:sz w:val="32"/>
          <w:szCs w:val="32"/>
        </w:rPr>
        <w:br/>
        <w:t>本项目不存在经济效益。</w:t>
      </w:r>
      <w:r>
        <w:rPr>
          <w:rStyle w:val="ad"/>
          <w:rFonts w:ascii="楷体" w:eastAsia="楷体" w:hAnsi="楷体" w:hint="eastAsia"/>
          <w:b w:val="0"/>
          <w:bCs w:val="0"/>
          <w:spacing w:val="-4"/>
          <w:sz w:val="32"/>
          <w:szCs w:val="32"/>
        </w:rPr>
        <w:br/>
        <w:t>②社会效益指标</w:t>
      </w:r>
      <w:r>
        <w:rPr>
          <w:rStyle w:val="ad"/>
          <w:rFonts w:ascii="楷体" w:eastAsia="楷体" w:hAnsi="楷体" w:hint="eastAsia"/>
          <w:b w:val="0"/>
          <w:bCs w:val="0"/>
          <w:spacing w:val="-4"/>
          <w:sz w:val="32"/>
          <w:szCs w:val="32"/>
        </w:rPr>
        <w:br/>
        <w:t>“对城乡居民基本养老保险制度可持续发展”指标，预期指标值为“有效推动”；</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本项目不存在生态效益；</w:t>
      </w:r>
      <w:r>
        <w:rPr>
          <w:rStyle w:val="ad"/>
          <w:rFonts w:ascii="楷体" w:eastAsia="楷体" w:hAnsi="楷体" w:hint="eastAsia"/>
          <w:b w:val="0"/>
          <w:bCs w:val="0"/>
          <w:spacing w:val="-4"/>
          <w:sz w:val="32"/>
          <w:szCs w:val="32"/>
        </w:rPr>
        <w:br/>
        <w:t>④可持续影响</w:t>
      </w:r>
      <w:r>
        <w:rPr>
          <w:rStyle w:val="ad"/>
          <w:rFonts w:ascii="楷体" w:eastAsia="楷体" w:hAnsi="楷体" w:hint="eastAsia"/>
          <w:b w:val="0"/>
          <w:bCs w:val="0"/>
          <w:spacing w:val="-4"/>
          <w:sz w:val="32"/>
          <w:szCs w:val="32"/>
        </w:rPr>
        <w:br/>
        <w:t>本项目不存在生态效益；</w:t>
      </w:r>
      <w:r>
        <w:rPr>
          <w:rStyle w:val="ad"/>
          <w:rFonts w:ascii="楷体" w:eastAsia="楷体" w:hAnsi="楷体" w:hint="eastAsia"/>
          <w:b w:val="0"/>
          <w:bCs w:val="0"/>
          <w:spacing w:val="-4"/>
          <w:sz w:val="32"/>
          <w:szCs w:val="32"/>
        </w:rPr>
        <w:br/>
        <w:t>（3）相关满意度目标</w:t>
      </w:r>
      <w:r>
        <w:rPr>
          <w:rStyle w:val="ad"/>
          <w:rFonts w:ascii="楷体" w:eastAsia="楷体" w:hAnsi="楷体" w:hint="eastAsia"/>
          <w:b w:val="0"/>
          <w:bCs w:val="0"/>
          <w:spacing w:val="-4"/>
          <w:sz w:val="32"/>
          <w:szCs w:val="32"/>
        </w:rPr>
        <w:br/>
        <w:t>“政策知晓率”指标，预期指标值为95%；</w:t>
      </w:r>
      <w:r>
        <w:rPr>
          <w:rStyle w:val="ad"/>
          <w:rFonts w:ascii="楷体" w:eastAsia="楷体" w:hAnsi="楷体" w:hint="eastAsia"/>
          <w:b w:val="0"/>
          <w:bCs w:val="0"/>
          <w:spacing w:val="-4"/>
          <w:sz w:val="32"/>
          <w:szCs w:val="32"/>
        </w:rPr>
        <w:br/>
        <w:t>“群众满意度”指标，预期指标值为95%。</w:t>
      </w:r>
    </w:p>
    <w:p w14:paraId="3E2F958B"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4288CEF6"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15788890"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1、绩效评价目的</w:t>
      </w:r>
      <w:r>
        <w:rPr>
          <w:rStyle w:val="ad"/>
          <w:rFonts w:ascii="楷体" w:eastAsia="楷体" w:hAnsi="楷体" w:hint="eastAsia"/>
          <w:b w:val="0"/>
          <w:bCs w:val="0"/>
          <w:spacing w:val="-4"/>
          <w:sz w:val="32"/>
          <w:szCs w:val="32"/>
        </w:rPr>
        <w:br/>
        <w:t>本次通过开展绩效评价，旨在全面了解该项目预算编制合理性、资金使用合规性、项目管理规范性、绩效目标实现情况以及服务对象的满意度等，及时总结经验和教训，为下年度项目支出预算</w:t>
      </w:r>
      <w:r>
        <w:rPr>
          <w:rStyle w:val="ad"/>
          <w:rFonts w:ascii="楷体" w:eastAsia="楷体" w:hAnsi="楷体" w:hint="eastAsia"/>
          <w:b w:val="0"/>
          <w:bCs w:val="0"/>
          <w:spacing w:val="-4"/>
          <w:sz w:val="32"/>
          <w:szCs w:val="32"/>
        </w:rPr>
        <w:lastRenderedPageBreak/>
        <w:t>安排、完善政策和改进管理提供可行性参考建议。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t>本次绩效评价遵循财政部《关于印发&lt;项目支出绩效评价管理办法&gt;的通知》（财预〔2020〕10号）以及自治区财政厅《自治区财政支出绩效评价管理暂行办法》（新财预〔2018〕189号）等文件规定，对2022年中央城乡居民基本养老保险基金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C1BC3F2"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6038E744"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2022年中央城乡居民基本养老保险基金补助资金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根据以上原则，绩效评价应遵循如下要求：</w:t>
      </w:r>
      <w:r>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w:t>
      </w:r>
      <w:r>
        <w:rPr>
          <w:rStyle w:val="ad"/>
          <w:rFonts w:ascii="楷体" w:eastAsia="楷体" w:hAnsi="楷体" w:hint="eastAsia"/>
          <w:b w:val="0"/>
          <w:bCs w:val="0"/>
          <w:spacing w:val="-4"/>
          <w:sz w:val="32"/>
          <w:szCs w:val="32"/>
        </w:rPr>
        <w:lastRenderedPageBreak/>
        <w:t>支出、谁自评”。</w:t>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br/>
        <w:t>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服务对象满意度。</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t>比较法：通过整理本项目相关资料和数据，评价数量指标的完成</w:t>
      </w:r>
      <w:r>
        <w:rPr>
          <w:rStyle w:val="ad"/>
          <w:rFonts w:ascii="楷体" w:eastAsia="楷体" w:hAnsi="楷体" w:hint="eastAsia"/>
          <w:b w:val="0"/>
          <w:bCs w:val="0"/>
          <w:spacing w:val="-4"/>
          <w:sz w:val="32"/>
          <w:szCs w:val="32"/>
        </w:rPr>
        <w:lastRenderedPageBreak/>
        <w:t>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20CF911"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46BBC117"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沈晓路（呼图壁县社会保险管理局党支部副书记、局长）任评价组组长，绩效评价工作职责为检查项目绩效指标完成情况、审定项目支出绩效评价结果及项目支出绩效评价报告。</w:t>
      </w:r>
      <w:r>
        <w:rPr>
          <w:rStyle w:val="ad"/>
          <w:rFonts w:ascii="楷体" w:eastAsia="楷体" w:hAnsi="楷体" w:hint="eastAsia"/>
          <w:b w:val="0"/>
          <w:bCs w:val="0"/>
          <w:spacing w:val="-4"/>
          <w:sz w:val="32"/>
          <w:szCs w:val="32"/>
        </w:rPr>
        <w:br/>
        <w:t>赵玉强（呼图壁县社会保险管理局副局长）任评价组副组长，绩效评价工作职责为组织和协调项目工作人员采取实地调查、资料检查等方式，核实项目绩效指标完成情况；组织受益对象对项目工作进行评价等。</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李晓娟（呼图壁县社会保险管理局待遇支付科科长）任评价组成员，绩效评价工作职责为做好项目支出绩效评价工作的沟通协调工作，对项目实施情况进行实地调查，编写项目支出绩效评价报告。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t>第二阶段：组织实施。</w:t>
      </w:r>
      <w:r>
        <w:rPr>
          <w:rStyle w:val="ad"/>
          <w:rFonts w:ascii="楷体" w:eastAsia="楷体" w:hAnsi="楷体" w:hint="eastAsia"/>
          <w:b w:val="0"/>
          <w:bCs w:val="0"/>
          <w:spacing w:val="-4"/>
          <w:sz w:val="32"/>
          <w:szCs w:val="32"/>
        </w:rPr>
        <w:br/>
        <w:t>评价组通过实地调研、查阅资料等方式，采用综合分析法对项目的决策、管理、绩效进行的综合评价分析。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d"/>
          <w:rFonts w:ascii="楷体" w:eastAsia="楷体" w:hAnsi="楷体" w:hint="eastAsia"/>
          <w:b w:val="0"/>
          <w:bCs w:val="0"/>
          <w:spacing w:val="-4"/>
          <w:sz w:val="32"/>
          <w:szCs w:val="32"/>
        </w:rPr>
        <w:br/>
        <w:t>第四阶段：撰写与提交评价报告</w:t>
      </w:r>
      <w:r>
        <w:rPr>
          <w:rStyle w:val="ad"/>
          <w:rFonts w:ascii="楷体" w:eastAsia="楷体" w:hAnsi="楷体" w:hint="eastAsia"/>
          <w:b w:val="0"/>
          <w:bCs w:val="0"/>
          <w:spacing w:val="-4"/>
          <w:sz w:val="32"/>
          <w:szCs w:val="32"/>
        </w:rPr>
        <w:br/>
        <w:t>项目撰写绩效评价报告，按照财政局大平台绩效系统中统一格式和文本框架撰写绩效评价报告。</w:t>
      </w:r>
      <w:r>
        <w:rPr>
          <w:rStyle w:val="ad"/>
          <w:rFonts w:ascii="楷体" w:eastAsia="楷体" w:hAnsi="楷体" w:hint="eastAsia"/>
          <w:b w:val="0"/>
          <w:bCs w:val="0"/>
          <w:spacing w:val="-4"/>
          <w:sz w:val="32"/>
          <w:szCs w:val="32"/>
        </w:rPr>
        <w:br/>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2BEB66E0"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00D66FDA"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（一）综合评价情况</w:t>
      </w:r>
      <w:r>
        <w:rPr>
          <w:rStyle w:val="ad"/>
          <w:rFonts w:ascii="楷体" w:eastAsia="楷体" w:hAnsi="楷体" w:hint="eastAsia"/>
          <w:b w:val="0"/>
          <w:bCs w:val="0"/>
          <w:spacing w:val="-4"/>
          <w:sz w:val="32"/>
          <w:szCs w:val="32"/>
        </w:rPr>
        <w:br/>
        <w:t>通过2022年中央财政城乡居民基本养老保险补助资金项目的实施，解决了参加城乡居民养老保险待遇领取人员基本养老金偏低问题，提高了退休人员的生活水平，做到“老有所养”，提升了社会稳定，该项目预算执行率达100%，项目预期绩效目标及各项具体指标均已全部达成。</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（二）综合评价结论</w:t>
      </w:r>
      <w:r>
        <w:rPr>
          <w:rStyle w:val="ad"/>
          <w:rFonts w:ascii="楷体" w:eastAsia="楷体" w:hAnsi="楷体" w:hint="eastAsia"/>
          <w:b w:val="0"/>
          <w:bCs w:val="0"/>
          <w:spacing w:val="-4"/>
          <w:sz w:val="32"/>
          <w:szCs w:val="32"/>
        </w:rPr>
        <w:br/>
        <w:t>本次评价采取定量与定性评价相结合的方式，对2022年中央财政城乡居民基本养老保险补助资金项目的绩效目标和各项具体绩效指标实现情况进行了客观评价，最终评分为98分。绩效评级为“优秀”，具体得分情况为：项目决策20分、项目过程20分、项目产出30分、项目效益28分。</w:t>
      </w:r>
    </w:p>
    <w:p w14:paraId="3D8DB4D2"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005E9FBB"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492273CB"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ad"/>
          <w:rFonts w:ascii="楷体" w:eastAsia="楷体" w:hAnsi="楷体" w:hint="eastAsia"/>
          <w:b w:val="0"/>
          <w:bCs w:val="0"/>
          <w:spacing w:val="-4"/>
          <w:sz w:val="32"/>
          <w:szCs w:val="32"/>
        </w:rPr>
        <w:br/>
        <w:t>1.1.立项依据充分性：项目立项符合国家法律法规、自治区和地区行业发展规划和政策要求，属于本部门履职所需。根据评分标准，该指标3分，得3分。</w:t>
      </w:r>
      <w:r>
        <w:rPr>
          <w:rStyle w:val="ad"/>
          <w:rFonts w:ascii="楷体" w:eastAsia="楷体" w:hAnsi="楷体" w:hint="eastAsia"/>
          <w:b w:val="0"/>
          <w:bCs w:val="0"/>
          <w:spacing w:val="-4"/>
          <w:sz w:val="32"/>
          <w:szCs w:val="32"/>
        </w:rPr>
        <w:br/>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4.绩效指标明确性：本项目已将项目绩效目标细化分解为具体的绩效指标，并通过清晰、可衡量的指标值予以体现，与项目目标任务数或计划数相对应。根据评分标准，该指标2分，得2分。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6.资金分配合理性：本项目资金分配依据充分，资金分配额度合理，与项目地方实际相适应。根据评分标准，该指标5分，得5分。</w:t>
      </w:r>
      <w:r>
        <w:rPr>
          <w:rStyle w:val="ad"/>
          <w:rFonts w:ascii="楷体" w:eastAsia="楷体" w:hAnsi="楷体" w:hint="eastAsia"/>
          <w:b w:val="0"/>
          <w:bCs w:val="0"/>
          <w:spacing w:val="-4"/>
          <w:sz w:val="32"/>
          <w:szCs w:val="32"/>
        </w:rPr>
        <w:tab/>
      </w:r>
    </w:p>
    <w:p w14:paraId="49C108B1"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lastRenderedPageBreak/>
        <w:t>（二）</w:t>
      </w:r>
      <w:r>
        <w:rPr>
          <w:rStyle w:val="ad"/>
          <w:rFonts w:ascii="楷体" w:eastAsia="楷体" w:hAnsi="楷体" w:hint="eastAsia"/>
          <w:spacing w:val="-4"/>
          <w:sz w:val="32"/>
          <w:szCs w:val="32"/>
        </w:rPr>
        <w:t>项目过程情况</w:t>
      </w:r>
    </w:p>
    <w:p w14:paraId="0D773D47"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ad"/>
          <w:rFonts w:ascii="楷体" w:eastAsia="楷体" w:hAnsi="楷体" w:hint="eastAsia"/>
          <w:b w:val="0"/>
          <w:bCs w:val="0"/>
          <w:spacing w:val="-4"/>
          <w:sz w:val="32"/>
          <w:szCs w:val="32"/>
        </w:rPr>
        <w:br/>
        <w:t>1.资金到位率：该项目所需财政资金能够足额拨付到位，根据评分标准，该指标5分，得5分。</w:t>
      </w:r>
      <w:r>
        <w:rPr>
          <w:rStyle w:val="ad"/>
          <w:rFonts w:ascii="楷体" w:eastAsia="楷体" w:hAnsi="楷体" w:hint="eastAsia"/>
          <w:b w:val="0"/>
          <w:bCs w:val="0"/>
          <w:spacing w:val="-4"/>
          <w:sz w:val="32"/>
          <w:szCs w:val="32"/>
        </w:rPr>
        <w:br/>
        <w:t>2.预算执行率：本项目预算较为详细，预算资金1206万元，实际执行1206万元，预算执行率为100%，项目资金支出总体能够按照预算执行，根据评分标准，该指标5分，得5分。</w:t>
      </w:r>
      <w:r>
        <w:rPr>
          <w:rStyle w:val="ad"/>
          <w:rFonts w:ascii="楷体" w:eastAsia="楷体" w:hAnsi="楷体" w:hint="eastAsia"/>
          <w:b w:val="0"/>
          <w:bCs w:val="0"/>
          <w:spacing w:val="-4"/>
          <w:sz w:val="32"/>
          <w:szCs w:val="32"/>
        </w:rPr>
        <w:br/>
        <w:t>3.资金使用合规性：项目任务下达后，我单位按照社保基金制度和管理规定对补贴资金使用进行规范管理，财务制度健全、执行严格，根据评分标准，该指标5分，得5分。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4.管理制度健全性：我单位按照社保基金管理办法等相关项目管理办法，同时对财政专项资金进行严格管理，基本做到了专款专用，根据评分标准，该指标2分，得2分。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32769181"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09B8CAFF"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项目产出类指标包括产出数量、产出质量、产出时效、产出成本共四方面的内容，由7个三级指标构成，权重分为30分，本项目实际得分30分，得分率为100%。具体各项指标得分如下：</w:t>
      </w:r>
      <w:r>
        <w:rPr>
          <w:rStyle w:val="ad"/>
          <w:rFonts w:ascii="楷体" w:eastAsia="楷体" w:hAnsi="楷体" w:hint="eastAsia"/>
          <w:b w:val="0"/>
          <w:bCs w:val="0"/>
          <w:spacing w:val="-4"/>
          <w:sz w:val="32"/>
          <w:szCs w:val="32"/>
        </w:rPr>
        <w:br/>
        <w:t>1.产出数量</w:t>
      </w:r>
      <w:r>
        <w:rPr>
          <w:rStyle w:val="ad"/>
          <w:rFonts w:ascii="楷体" w:eastAsia="楷体" w:hAnsi="楷体" w:hint="eastAsia"/>
          <w:b w:val="0"/>
          <w:bCs w:val="0"/>
          <w:spacing w:val="-4"/>
          <w:sz w:val="32"/>
          <w:szCs w:val="32"/>
        </w:rPr>
        <w:br/>
        <w:t>“符合条件的城乡老年居民按时发放率”指标，预期指标值为</w:t>
      </w:r>
      <w:r>
        <w:rPr>
          <w:rStyle w:val="ad"/>
          <w:rFonts w:ascii="楷体" w:eastAsia="楷体" w:hAnsi="楷体" w:hint="eastAsia"/>
          <w:b w:val="0"/>
          <w:bCs w:val="0"/>
          <w:spacing w:val="-4"/>
          <w:sz w:val="32"/>
          <w:szCs w:val="32"/>
        </w:rPr>
        <w:lastRenderedPageBreak/>
        <w:t>“100%”；实际完成100%，与预期目标一致，根据评分标准，该指标2.5分，得2.5分。</w:t>
      </w:r>
      <w:r>
        <w:rPr>
          <w:rStyle w:val="ad"/>
          <w:rFonts w:ascii="楷体" w:eastAsia="楷体" w:hAnsi="楷体" w:hint="eastAsia"/>
          <w:b w:val="0"/>
          <w:bCs w:val="0"/>
          <w:spacing w:val="-4"/>
          <w:sz w:val="32"/>
          <w:szCs w:val="32"/>
        </w:rPr>
        <w:br/>
        <w:t>“符合条件的城乡老年居民足额发放率”指标，预期指标值为“100%”，实际完成100%，与预期目标一致，根据评分标准，该指标2.5分，得2.5分。</w:t>
      </w:r>
      <w:r>
        <w:rPr>
          <w:rStyle w:val="ad"/>
          <w:rFonts w:ascii="楷体" w:eastAsia="楷体" w:hAnsi="楷体" w:hint="eastAsia"/>
          <w:b w:val="0"/>
          <w:bCs w:val="0"/>
          <w:spacing w:val="-4"/>
          <w:sz w:val="32"/>
          <w:szCs w:val="32"/>
        </w:rPr>
        <w:br/>
        <w:t>2.产出质量</w:t>
      </w:r>
      <w:r>
        <w:rPr>
          <w:rStyle w:val="ad"/>
          <w:rFonts w:ascii="楷体" w:eastAsia="楷体" w:hAnsi="楷体" w:hint="eastAsia"/>
          <w:b w:val="0"/>
          <w:bCs w:val="0"/>
          <w:spacing w:val="-4"/>
          <w:sz w:val="32"/>
          <w:szCs w:val="32"/>
        </w:rPr>
        <w:br/>
        <w:t>“基础养老金标准执行”指标，预期指标值为“100%”，实际完成“100%”，与预期目标一致，根据评分标准，该指标5分，得5分。</w:t>
      </w:r>
      <w:r>
        <w:rPr>
          <w:rStyle w:val="ad"/>
          <w:rFonts w:ascii="楷体" w:eastAsia="楷体" w:hAnsi="楷体" w:hint="eastAsia"/>
          <w:b w:val="0"/>
          <w:bCs w:val="0"/>
          <w:spacing w:val="-4"/>
          <w:sz w:val="32"/>
          <w:szCs w:val="32"/>
        </w:rPr>
        <w:br/>
        <w:t>“基础养老金发放准确率”指标，预期指标值为“100%”，实际完成“100%”，与预期目标一致，根据评分标准，该指标5分，得5分。</w:t>
      </w:r>
      <w:r>
        <w:rPr>
          <w:rStyle w:val="ad"/>
          <w:rFonts w:ascii="楷体" w:eastAsia="楷体" w:hAnsi="楷体" w:hint="eastAsia"/>
          <w:b w:val="0"/>
          <w:bCs w:val="0"/>
          <w:spacing w:val="-4"/>
          <w:sz w:val="32"/>
          <w:szCs w:val="32"/>
        </w:rPr>
        <w:br/>
        <w:t>3.产出时效</w:t>
      </w:r>
      <w:r>
        <w:rPr>
          <w:rStyle w:val="ad"/>
          <w:rFonts w:ascii="楷体" w:eastAsia="楷体" w:hAnsi="楷体" w:hint="eastAsia"/>
          <w:b w:val="0"/>
          <w:bCs w:val="0"/>
          <w:spacing w:val="-4"/>
          <w:sz w:val="32"/>
          <w:szCs w:val="32"/>
        </w:rPr>
        <w:br/>
        <w:t>“规定时限内拨付补助资金比例”指标，预期指标值为“100%”，实际完成“100%”，与预期目标一致，根据评分标准，该指标5分，得5分。</w:t>
      </w:r>
      <w:r>
        <w:rPr>
          <w:rStyle w:val="ad"/>
          <w:rFonts w:ascii="楷体" w:eastAsia="楷体" w:hAnsi="楷体" w:hint="eastAsia"/>
          <w:b w:val="0"/>
          <w:bCs w:val="0"/>
          <w:spacing w:val="-4"/>
          <w:sz w:val="32"/>
          <w:szCs w:val="32"/>
        </w:rPr>
        <w:br/>
        <w:t>4.产出成本</w:t>
      </w:r>
      <w:r>
        <w:rPr>
          <w:rStyle w:val="ad"/>
          <w:rFonts w:ascii="楷体" w:eastAsia="楷体" w:hAnsi="楷体" w:hint="eastAsia"/>
          <w:b w:val="0"/>
          <w:bCs w:val="0"/>
          <w:spacing w:val="-4"/>
          <w:sz w:val="32"/>
          <w:szCs w:val="32"/>
        </w:rPr>
        <w:br/>
        <w:t>“人均月基础养老金标准（中央）”指标，预期指标值为“93元/人/月”，实际完成1-6月93元/人/月，7-12月98元/人/月，与预期目标一致，根据评分标准，该指标5分，得5分。</w:t>
      </w:r>
      <w:r>
        <w:rPr>
          <w:rStyle w:val="ad"/>
          <w:rFonts w:ascii="楷体" w:eastAsia="楷体" w:hAnsi="楷体" w:hint="eastAsia"/>
          <w:b w:val="0"/>
          <w:bCs w:val="0"/>
          <w:spacing w:val="-4"/>
          <w:sz w:val="32"/>
          <w:szCs w:val="32"/>
        </w:rPr>
        <w:br/>
        <w:t>“人均月基础养老金标准（州级）”指标，预期指标值为“150元/人/月”，实际完成1-6月175元/人/月，7-12月180元/人/月，与预期目标一致，根据评分标准，该指标5分，得5分。</w:t>
      </w:r>
    </w:p>
    <w:p w14:paraId="115056E8"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5222B395" w14:textId="48580E4B"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项目效益类指标由2个二级指标和3个三级指标构成，权重</w:t>
      </w:r>
      <w:r>
        <w:rPr>
          <w:rStyle w:val="ad"/>
          <w:rFonts w:ascii="楷体" w:eastAsia="楷体" w:hAnsi="楷体" w:hint="eastAsia"/>
          <w:b w:val="0"/>
          <w:bCs w:val="0"/>
          <w:spacing w:val="-4"/>
          <w:sz w:val="32"/>
          <w:szCs w:val="32"/>
        </w:rPr>
        <w:lastRenderedPageBreak/>
        <w:t>分为30分，本项目实际得分28分，得分率为93.33%。具体各项指标得分如下：</w:t>
      </w:r>
      <w:r>
        <w:rPr>
          <w:rStyle w:val="ad"/>
          <w:rFonts w:ascii="楷体" w:eastAsia="楷体" w:hAnsi="楷体" w:hint="eastAsia"/>
          <w:b w:val="0"/>
          <w:bCs w:val="0"/>
          <w:spacing w:val="-4"/>
          <w:sz w:val="32"/>
          <w:szCs w:val="32"/>
        </w:rPr>
        <w:br/>
        <w:t>1.实施效益指标</w:t>
      </w:r>
      <w:r>
        <w:rPr>
          <w:rStyle w:val="ad"/>
          <w:rFonts w:ascii="楷体" w:eastAsia="楷体" w:hAnsi="楷体" w:hint="eastAsia"/>
          <w:b w:val="0"/>
          <w:bCs w:val="0"/>
          <w:spacing w:val="-4"/>
          <w:sz w:val="32"/>
          <w:szCs w:val="32"/>
        </w:rPr>
        <w:br/>
        <w:t>（1）社会效益指标</w:t>
      </w:r>
      <w:r>
        <w:rPr>
          <w:rStyle w:val="ad"/>
          <w:rFonts w:ascii="楷体" w:eastAsia="楷体" w:hAnsi="楷体" w:hint="eastAsia"/>
          <w:b w:val="0"/>
          <w:bCs w:val="0"/>
          <w:spacing w:val="-4"/>
          <w:sz w:val="32"/>
          <w:szCs w:val="32"/>
        </w:rPr>
        <w:br/>
        <w:t>“对城乡居民基本养老保险制度可持续发展”指标，预期指标值为“有效推动”，实际完成值为“有效推动”，根据评分标准，该指标10分，得10分。</w:t>
      </w:r>
      <w:r>
        <w:rPr>
          <w:rStyle w:val="ad"/>
          <w:rFonts w:ascii="楷体" w:eastAsia="楷体" w:hAnsi="楷体" w:hint="eastAsia"/>
          <w:b w:val="0"/>
          <w:bCs w:val="0"/>
          <w:spacing w:val="-4"/>
          <w:sz w:val="32"/>
          <w:szCs w:val="32"/>
        </w:rPr>
        <w:br/>
        <w:t>（2）可持续影响指标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（3）经济效益指标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（4）生态效益指标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2.满意度指标</w:t>
      </w:r>
      <w:r>
        <w:rPr>
          <w:rStyle w:val="ad"/>
          <w:rFonts w:ascii="楷体" w:eastAsia="楷体" w:hAnsi="楷体" w:hint="eastAsia"/>
          <w:b w:val="0"/>
          <w:bCs w:val="0"/>
          <w:spacing w:val="-4"/>
          <w:sz w:val="32"/>
          <w:szCs w:val="32"/>
        </w:rPr>
        <w:br/>
        <w:t>“政策知晓率”指标，预期指标值为“95%”，收益对象满意度达90%，根据评分标准，该指标10分,得9分。</w:t>
      </w:r>
      <w:r>
        <w:rPr>
          <w:rStyle w:val="ad"/>
          <w:rFonts w:ascii="楷体" w:eastAsia="楷体" w:hAnsi="楷体" w:hint="eastAsia"/>
          <w:b w:val="0"/>
          <w:bCs w:val="0"/>
          <w:spacing w:val="-4"/>
          <w:sz w:val="32"/>
          <w:szCs w:val="32"/>
        </w:rPr>
        <w:br/>
        <w:t>“群众满意度”指标，预期指标值为“95%”，收益对象满意度达90%，根据评分标准，该指标10分,得9分。</w:t>
      </w:r>
    </w:p>
    <w:p w14:paraId="185048E7" w14:textId="77777777" w:rsidR="0012073C" w:rsidRDefault="0012073C">
      <w:pPr>
        <w:spacing w:line="540" w:lineRule="exact"/>
        <w:ind w:firstLine="567"/>
        <w:rPr>
          <w:rStyle w:val="ad"/>
          <w:rFonts w:ascii="楷体" w:eastAsia="楷体" w:hAnsi="楷体"/>
          <w:spacing w:val="-4"/>
          <w:sz w:val="32"/>
          <w:szCs w:val="32"/>
        </w:rPr>
      </w:pPr>
    </w:p>
    <w:p w14:paraId="5B097D5D"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161B4283" w14:textId="77777777" w:rsidR="0012073C" w:rsidRDefault="009A0637">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2022年中央财政城乡居民基本养老保险补助资金项目2022年预算数为1206万元，自治区财政城乡居民基本养老保险补助资金381万元，截至2022年12月31日共支出1587万元，预算执行率为100%。</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呼图壁县社会保险管理局建立健全了预算管理规章制度，各部门严格按预算编制的原则和要求做好当年预算编制工作，在预算绩效管理工作中，做到合理安排各项资金，重点保障基本支出，按轻重缓急顺序原则，优先安排了呼图壁县社会保险管理局单位事业发展中关系民生与稳定的项目，切实优化资源配置，提高了资金使用的效率和效果。</w:t>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br/>
        <w:t>一是项目运行过程中，工作周期内认证工作速度缓慢。</w:t>
      </w:r>
      <w:r>
        <w:rPr>
          <w:rStyle w:val="ad"/>
          <w:rFonts w:ascii="楷体" w:eastAsia="楷体" w:hAnsi="楷体" w:hint="eastAsia"/>
          <w:b w:val="0"/>
          <w:bCs w:val="0"/>
          <w:spacing w:val="-4"/>
          <w:sz w:val="32"/>
          <w:szCs w:val="32"/>
        </w:rPr>
        <w:br/>
        <w:t>二是由于城乡居民参保及享受待遇人数基数较大，宣传还不够到位。三是绩效管理需要向乡镇延伸细化，使指标设置需要更加的科学性</w:t>
      </w:r>
    </w:p>
    <w:p w14:paraId="2ED35A62"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7D3F1D51"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一是加大宣传力度，组织乡、村相关工作人员学习新知识，准确掌握政策。</w:t>
      </w:r>
      <w:r>
        <w:rPr>
          <w:rStyle w:val="ad"/>
          <w:rFonts w:ascii="楷体" w:eastAsia="楷体" w:hAnsi="楷体" w:hint="eastAsia"/>
          <w:b w:val="0"/>
          <w:bCs w:val="0"/>
          <w:spacing w:val="-4"/>
          <w:sz w:val="32"/>
          <w:szCs w:val="32"/>
        </w:rPr>
        <w:br/>
        <w:t>二是严格认证工作程序。多入户，多走访，做到实时上报，杜绝漏报、错报和延迟上报，确保及时率。加强项目实施方案制定，加强项目实施过程指导。</w:t>
      </w:r>
    </w:p>
    <w:p w14:paraId="7954A3B5"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3F195D8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无</w:t>
      </w:r>
    </w:p>
    <w:p w14:paraId="4B26BB5F" w14:textId="77777777" w:rsidR="0012073C" w:rsidRDefault="0012073C">
      <w:pPr>
        <w:spacing w:line="540" w:lineRule="exact"/>
        <w:ind w:firstLine="567"/>
        <w:rPr>
          <w:rStyle w:val="ad"/>
          <w:rFonts w:ascii="仿宋" w:eastAsia="仿宋" w:hAnsi="仿宋"/>
          <w:b w:val="0"/>
          <w:spacing w:val="-4"/>
          <w:sz w:val="32"/>
          <w:szCs w:val="32"/>
        </w:rPr>
      </w:pPr>
    </w:p>
    <w:p w14:paraId="27EEFA7D" w14:textId="77777777" w:rsidR="0012073C" w:rsidRDefault="0012073C">
      <w:pPr>
        <w:spacing w:line="540" w:lineRule="exact"/>
        <w:ind w:firstLine="567"/>
        <w:rPr>
          <w:rStyle w:val="ad"/>
          <w:rFonts w:ascii="仿宋" w:eastAsia="仿宋" w:hAnsi="仿宋"/>
          <w:b w:val="0"/>
          <w:spacing w:val="-4"/>
          <w:sz w:val="32"/>
          <w:szCs w:val="32"/>
        </w:rPr>
      </w:pPr>
    </w:p>
    <w:p w14:paraId="160C521F" w14:textId="77777777" w:rsidR="0012073C" w:rsidRDefault="0012073C">
      <w:pPr>
        <w:spacing w:line="540" w:lineRule="exact"/>
        <w:ind w:firstLine="567"/>
        <w:rPr>
          <w:rStyle w:val="ad"/>
          <w:rFonts w:ascii="仿宋" w:eastAsia="仿宋" w:hAnsi="仿宋"/>
          <w:b w:val="0"/>
          <w:spacing w:val="-4"/>
          <w:sz w:val="32"/>
          <w:szCs w:val="32"/>
        </w:rPr>
      </w:pPr>
    </w:p>
    <w:p w14:paraId="71B73864" w14:textId="77777777" w:rsidR="0012073C" w:rsidRDefault="0012073C">
      <w:pPr>
        <w:spacing w:line="540" w:lineRule="exact"/>
        <w:ind w:firstLine="567"/>
        <w:rPr>
          <w:rStyle w:val="ad"/>
          <w:rFonts w:ascii="仿宋" w:eastAsia="仿宋" w:hAnsi="仿宋"/>
          <w:b w:val="0"/>
          <w:spacing w:val="-4"/>
          <w:sz w:val="32"/>
          <w:szCs w:val="32"/>
        </w:rPr>
      </w:pPr>
    </w:p>
    <w:p w14:paraId="1CFB38F6" w14:textId="77777777" w:rsidR="0012073C" w:rsidRDefault="0012073C">
      <w:pPr>
        <w:spacing w:line="540" w:lineRule="exact"/>
        <w:ind w:firstLine="567"/>
        <w:rPr>
          <w:rStyle w:val="ad"/>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033BF" w14:textId="77777777" w:rsidR="009A41B7" w:rsidRDefault="009A41B7">
      <w:r>
        <w:separator/>
      </w:r>
    </w:p>
  </w:endnote>
  <w:endnote w:type="continuationSeparator" w:id="0">
    <w:p w14:paraId="5F90245E" w14:textId="77777777" w:rsidR="009A41B7" w:rsidRDefault="009A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71FDD12D"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314E9FDD"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0E37A" w14:textId="77777777" w:rsidR="009A41B7" w:rsidRDefault="009A41B7">
      <w:r>
        <w:separator/>
      </w:r>
    </w:p>
  </w:footnote>
  <w:footnote w:type="continuationSeparator" w:id="0">
    <w:p w14:paraId="7220FE93" w14:textId="77777777" w:rsidR="009A41B7" w:rsidRDefault="009A41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A41B7"/>
    <w:rsid w:val="009E5CD9"/>
    <w:rsid w:val="00A26421"/>
    <w:rsid w:val="00A34588"/>
    <w:rsid w:val="00A349C0"/>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D2A73"/>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1061</Words>
  <Characters>6051</Characters>
  <Application>Microsoft Office Word</Application>
  <DocSecurity>0</DocSecurity>
  <Lines>50</Lines>
  <Paragraphs>14</Paragraphs>
  <ScaleCrop>false</ScaleCrop>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